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before="156" w:beforeLines="50" w:line="300" w:lineRule="auto"/>
        <w:ind w:left="2" w:leftChars="-496" w:hanging="1044" w:hangingChars="325"/>
        <w:jc w:val="left"/>
        <w:rPr>
          <w:rFonts w:ascii="宋体" w:hAnsi="宋体" w:eastAsia="宋体" w:cs="宋体"/>
          <w:b/>
          <w:color w:val="333333"/>
          <w:kern w:val="0"/>
          <w:sz w:val="32"/>
          <w:szCs w:val="24"/>
          <w:highlight w:val="none"/>
          <w:shd w:val="clear" w:color="auto" w:fill="FFFFFF"/>
        </w:rPr>
      </w:pPr>
      <w:r>
        <w:rPr>
          <w:rFonts w:hint="eastAsia" w:ascii="宋体" w:hAnsi="宋体" w:eastAsia="宋体" w:cs="宋体"/>
          <w:b/>
          <w:color w:val="333333"/>
          <w:kern w:val="0"/>
          <w:sz w:val="32"/>
          <w:szCs w:val="24"/>
          <w:highlight w:val="none"/>
          <w:shd w:val="clear" w:color="auto" w:fill="FFFFFF"/>
        </w:rPr>
        <w:t>附件：</w:t>
      </w:r>
    </w:p>
    <w:p>
      <w:pPr>
        <w:widowControl/>
        <w:numPr>
          <w:ilvl w:val="0"/>
          <w:numId w:val="1"/>
        </w:numPr>
        <w:shd w:val="clear" w:color="auto" w:fill="FFFFFF"/>
        <w:spacing w:before="156" w:beforeLines="50" w:line="300" w:lineRule="auto"/>
        <w:ind w:left="4" w:leftChars="-495" w:hanging="1043" w:hangingChars="433"/>
        <w:jc w:val="left"/>
        <w:rPr>
          <w:rFonts w:eastAsia="宋体" w:cs="宋体"/>
          <w:b/>
          <w:color w:val="333333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b/>
          <w:color w:val="333333"/>
          <w:kern w:val="0"/>
          <w:sz w:val="24"/>
          <w:szCs w:val="21"/>
          <w:shd w:val="clear" w:color="auto" w:fill="FFFFFF"/>
        </w:rPr>
        <w:t>采购清单：</w:t>
      </w:r>
    </w:p>
    <w:tbl>
      <w:tblPr>
        <w:tblStyle w:val="13"/>
        <w:tblpPr w:leftFromText="180" w:rightFromText="180" w:vertAnchor="text" w:horzAnchor="page" w:tblpX="540" w:tblpY="52"/>
        <w:tblOverlap w:val="never"/>
        <w:tblW w:w="1093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6"/>
        <w:gridCol w:w="869"/>
        <w:gridCol w:w="141"/>
        <w:gridCol w:w="2410"/>
        <w:gridCol w:w="1559"/>
        <w:gridCol w:w="851"/>
        <w:gridCol w:w="709"/>
        <w:gridCol w:w="36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0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  <w:t>名称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21"/>
              </w:rPr>
              <w:t>参考</w:t>
            </w:r>
            <w:r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  <w:t>图片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  <w:t>尺寸W*D*H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  <w:t>数量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  <w:t>单位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  <w:t>产品描述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093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B9BD5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  <w:t>一</w:t>
            </w: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21"/>
              </w:rPr>
              <w:t>：</w:t>
            </w:r>
            <w:r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  <w:t>大厅等候区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8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高桌</w:t>
            </w:r>
          </w:p>
        </w:tc>
        <w:tc>
          <w:tcPr>
            <w:tcW w:w="25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124460</wp:posOffset>
                  </wp:positionV>
                  <wp:extent cx="1419225" cy="1219200"/>
                  <wp:effectExtent l="0" t="0" r="9525" b="0"/>
                  <wp:wrapNone/>
                  <wp:docPr id="105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W4500 D900 H1050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张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*基材：三聚氰胺饰面板，满足GB/T 15102《浸渍胶膜纸饰面纤维板和刨花板》所有要求，符合GB/T 39600《人造板及其制品甲醛释放量分级》标准，达到E0级：甲醛释放量≤0.05mg/m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³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；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*封边条：2mm厚PVC直封边，耐光色牢度≥4级，耐龟裂性≥1级、耐磨性、耐干热、耐老化、耐冷热循环性等理化性能均符合QB/T 4463《家具用封边条技术要求》的要求。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 xml:space="preserve">*胶水：符合《GB18583室内装饰装修材料 胶粘剂中有害物质限量》中对游离甲醛、苯、甲苯+二甲苯、总挥发有机物的要求。                                                                                                                                                      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钢架：30*60*1.5壁厚蛋形管，拆装结构，表面高温静电喷粉工艺，表面处理均匀、平整、顺滑，无明显颗粒杂质；涂膜厚度60-80um以上，硬度≥2H，附着力≤1级；重金属含量、耐冲击性、耐人工气候老化性均需符合HG/T2006-2006标准的要求；（需提供第三方权威机构出具的检测报告，含有CMA认证和CNAS认证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高吧椅</w:t>
            </w:r>
          </w:p>
        </w:tc>
        <w:tc>
          <w:tcPr>
            <w:tcW w:w="25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86995</wp:posOffset>
                  </wp:positionV>
                  <wp:extent cx="1101090" cy="1304290"/>
                  <wp:effectExtent l="0" t="0" r="3810" b="10160"/>
                  <wp:wrapNone/>
                  <wp:docPr id="104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30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L420*W430*H840 (mm)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*PP椅面：全新PP+玻纤，一体成型，超韧弹性背；所有检测项目均满足GB 28481《塑料家具中有害物质限量》的要求。（需提供第三方权威机构出具的检测报告（含有CMA认证和CNAS认证）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*橡木曲木脚：原木色，实木甲醛释放量≤0.3mg/L.（需提供第三方权威机构出具的检测报告，含有CMA认证和CNAS认证）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8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3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活动条桌</w:t>
            </w:r>
          </w:p>
        </w:tc>
        <w:tc>
          <w:tcPr>
            <w:tcW w:w="25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280035</wp:posOffset>
                  </wp:positionV>
                  <wp:extent cx="1209675" cy="1276350"/>
                  <wp:effectExtent l="0" t="0" r="9525" b="0"/>
                  <wp:wrapNone/>
                  <wp:docPr id="103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5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1400*600*750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张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*基材：三聚氰胺饰面板，满足GB/T 15102《浸渍胶膜纸饰面纤维板和刨花板》所有要求，符合GB/T 39600《人造板及其制品甲醛释放量分级》标准，达到E0级：甲醛释放量≤0.05mg/m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³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；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*封边条：2mm厚PVC直封边，耐光色牢度≥4级，耐龟裂性≥1级、耐磨性、耐干热、耐老化、耐冷热循环性等理化性能均符合QB/T 4463《家具用封边条技术要求》的要求。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 xml:space="preserve">*胶水：符合《GB18583室内装饰装修材料 胶粘剂中有害物质限量》中对游离甲醛、苯、甲苯+二甲苯、总挥发有机物的要求。                                                                                                                                                      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钢架：30*60*1.5壁厚蛋形管，拆装结构，表面高温静电喷粉工艺，表面处理均匀、平整、顺滑，无明显颗粒杂质；涂膜厚度60-80um以上，硬度≥2H，附着力≤1级；重金属含量、耐冲击性、耐人工气候老化性均需符合HG/T2006-2006标准的要求；（需提供第三方权威机构出具的检测报告，含有CMA认证和CNAS认证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0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休闲椅</w:t>
            </w:r>
          </w:p>
        </w:tc>
        <w:tc>
          <w:tcPr>
            <w:tcW w:w="25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415925</wp:posOffset>
                  </wp:positionV>
                  <wp:extent cx="1280160" cy="1400175"/>
                  <wp:effectExtent l="0" t="0" r="15240" b="9525"/>
                  <wp:wrapNone/>
                  <wp:docPr id="102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465*505*790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32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张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*PP椅面：全新PP+玻纤，一体成型，超韧弹性背；所有检测项目均满足GB 28481《塑料家具中有害物质限量》的要求。（需提供第三方权威机构出具的检测报告（含有CMA认证和CNAS认证）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*海绵：符合阻燃性要求(家庭用)，甲醛释放量≤0.12mg/m2h,TVOC≤0.5mg/m2h；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*面料：耐磨强度≥10万转，撕裂强度≥1000N，不含可分解致癌芳香胺染料。干湿色牢度、甲醛释放量符合《GB 18401国家纺织产品基本安全技术规范》的要求；香烟阴燃通过《GB17927.1软体家具 床垫和沙发抗引燃特性的评定》的要求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*椅脚：尼龙五星脚尼龙加脚轮，中重金属含量低于QB/28481《塑料家具中有害物质限量》标准。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（以上需提供第三方权威机构出具的检测报告，含有CMA认证和CNAS认证）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8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5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SUMMIT沙发</w:t>
            </w:r>
          </w:p>
        </w:tc>
        <w:tc>
          <w:tcPr>
            <w:tcW w:w="25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1564005</wp:posOffset>
                  </wp:positionV>
                  <wp:extent cx="1114425" cy="1076325"/>
                  <wp:effectExtent l="0" t="0" r="9525" b="9525"/>
                  <wp:wrapNone/>
                  <wp:docPr id="101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563" t="5535" b="6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 xml:space="preserve">L2459*W831*H1350 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组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*PP椅面：全新PP+玻纤，一体成型，超韧弹性背；所有检测项目均满足GB 28481《塑料家具中有害物质限量》的要求。（需提供第三方权威机构出具的检测报告（含有CMA认证和CNAS认证）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*海绵：符合阻燃性要求(家庭用)，甲醛释放量≤0.12mg/m2h,TVOC≤0.5mg/m2h；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*面料：耐磨强度≥10万转，撕裂强度≥1000N，不含可分解致癌芳香胺染料。干湿色牢度、甲醛释放量符合《GB 18401国家纺织产品基本安全技术规范》的要求；香烟阴燃通过《GB17927.1软体家具 床垫和沙发抗引燃特性的评定》的要求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钢架：直径38*1.5MM壁厚圆形钢管，表面高温静电喷粉工艺，表面处理均匀、平整、顺滑，无明显颗粒杂质；涂膜厚度60-80um以上，硬度≥2H，附着力≤1级；重金属含量、耐冲击性、耐人工气候老化性均需符合HG/T2006-2006标准的要求；（需提供第三方权威机构出具的检测报告，含有CMA认证和CNAS认证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3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6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summit围屏布艺组合</w:t>
            </w:r>
          </w:p>
        </w:tc>
        <w:tc>
          <w:tcPr>
            <w:tcW w:w="25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592455</wp:posOffset>
                  </wp:positionV>
                  <wp:extent cx="1247775" cy="1104900"/>
                  <wp:effectExtent l="0" t="0" r="9525" b="0"/>
                  <wp:wrapNone/>
                  <wp:docPr id="100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540" t="9854" r="-1424" b="59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W 2560 D660 H1200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组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 xml:space="preserve">基材：18MM多层板+18MM多层板，隐藏式扣 件连接,； 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面料：耐磨强度≥10万转，撕裂强度≥1000N，不含可分解致癌芳香胺染料。干湿色牢度、甲醛释放量符合《GB 18401国家纺织产品基本安全技术规范》的要求；香烟阴燃通过《GB17927.1软体家具 床垫和沙发抗引燃特性的评定》的要求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8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7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summit方圆茶几</w:t>
            </w:r>
          </w:p>
        </w:tc>
        <w:tc>
          <w:tcPr>
            <w:tcW w:w="2551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1365885</wp:posOffset>
                  </wp:positionV>
                  <wp:extent cx="1477010" cy="723900"/>
                  <wp:effectExtent l="0" t="0" r="8890" b="0"/>
                  <wp:wrapNone/>
                  <wp:docPr id="99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1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W 1000 D450 H354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3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*基材：三聚氰胺饰面板，满足GB/T 15102《浸渍胶膜纸饰面纤维板和刨花板》所有要求，符合GB/T 39600《人造板及其制品甲醛释放量分级》标准，达到E0级：甲醛释放量≤0.05mg/m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³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；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 xml:space="preserve">*胶水：符合《GB18583室内装饰装修材料 胶粘剂中有害物质限量》中对游离甲醛、苯、甲苯+二甲苯、总挥发有机物的要求。                                                                                                                                                      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钢架：直径38圆柱钢管焊接钢脚脚架，表面高温静电喷粉工艺，表面处理均匀、平整、顺滑，无明显颗粒杂质；涂膜厚度60-80um以上，硬度≥2H，附着力≤1级；重金属含量、耐冲击性、耐人工气候老化性均需符合HG/T2006-2006标准的要求；（需提供第三方权威机构出具的检测报告，含有CMA认证和CNAS认证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8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8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summit圆茶几</w:t>
            </w:r>
          </w:p>
        </w:tc>
        <w:tc>
          <w:tcPr>
            <w:tcW w:w="2551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W 638 D600H430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3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8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9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造型小凳</w:t>
            </w:r>
          </w:p>
        </w:tc>
        <w:tc>
          <w:tcPr>
            <w:tcW w:w="2551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466725</wp:posOffset>
                  </wp:positionV>
                  <wp:extent cx="1219200" cy="1211580"/>
                  <wp:effectExtent l="0" t="0" r="0" b="7620"/>
                  <wp:wrapNone/>
                  <wp:docPr id="98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φ670*420H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 xml:space="preserve">*基材：18MM多层板+18MM多层板，隐藏式扣 件连接,； 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*海绵：符合阻燃性要求(家庭用)，甲醛释放量≤0.12mg/m2h,TVOC≤0.5mg/m2h；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*面料：耐磨强度≥10万转，撕裂强度≥1000N，不含可分解致癌芳香胺染料。干湿色牢度、甲醛释放量符合《GB 18401国家纺织产品基本安全技术规范》的要求；香烟阴燃通过《GB17927.1软体家具 床垫和沙发抗引燃特性的评定》的要求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8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隔柜</w:t>
            </w:r>
          </w:p>
        </w:tc>
        <w:tc>
          <w:tcPr>
            <w:tcW w:w="25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901700</wp:posOffset>
                  </wp:positionV>
                  <wp:extent cx="1115060" cy="1115695"/>
                  <wp:effectExtent l="0" t="0" r="8890" b="8255"/>
                  <wp:wrapNone/>
                  <wp:docPr id="97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60" cy="111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1200*300*1100H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组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*基材：三聚氰胺饰面板，满足GB/T 15102《浸渍胶膜纸饰面纤维板和刨花板》所有要求，符合GB/T 39600《人造板及其制品甲醛释放量分级》标准，达到E0级：甲醛释放量≤0.05mg/m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³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；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*封边条：2mm厚PVC直封边，耐光色牢度≥4级，耐龟裂性≥1级、耐磨性、耐干热、耐老化、耐冷热循环性等理化性能均符合QB/T 4463《家具用封边条技术要求》的要求。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 xml:space="preserve">*胶水：符合《GB18583室内装饰装修材料 胶粘剂中有害物质限量》中对游离甲醛、苯、甲苯+二甲苯、总挥发有机物的要求。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3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定制吊柜</w:t>
            </w:r>
          </w:p>
        </w:tc>
        <w:tc>
          <w:tcPr>
            <w:tcW w:w="2551" w:type="dxa"/>
            <w:gridSpan w:val="2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469900</wp:posOffset>
                  </wp:positionV>
                  <wp:extent cx="1323975" cy="889635"/>
                  <wp:effectExtent l="0" t="0" r="9525" b="5715"/>
                  <wp:wrapNone/>
                  <wp:docPr id="96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88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5000*300*650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组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*基材：三聚氰胺饰面板，满足GB/T 15102《浸渍胶膜纸饰面纤维板和刨花板》所有要求，符合GB/T 39600《人造板及其制品甲醛释放量分级》标准，达到E0级：甲醛释放量≤0.05mg/m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³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；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*封边条：2mm厚PVC直封边，耐光色牢度≥4级，耐龟裂性≥1级、耐磨性、耐干热、耐老化、耐冷热循环性等理化性能均符合QB/T 4463《家具用封边条技术要求》的要求。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 xml:space="preserve">*胶水：符合《GB18583室内装饰装修材料 胶粘剂中有害物质限量》中对游离甲醛、苯、甲苯+二甲苯、总挥发有机物的要求。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3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定制地柜</w:t>
            </w:r>
          </w:p>
        </w:tc>
        <w:tc>
          <w:tcPr>
            <w:tcW w:w="2551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5000*600*850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组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*基材：三聚氰胺饰面板，满足GB/T 15102《浸渍胶膜纸饰面纤维板和刨花板》所有要求，符合GB/T 39600《人造板及其制品甲醛释放量分级》标准，达到E0级：甲醛释放量≤0.05mg/m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³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；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*封边条：2mm厚PVC直封边，耐光色牢度≥4级，耐龟裂性≥1级、耐磨性、耐干热、耐老化、耐冷热循环性等理化性能均符合QB/T 4463《家具用封边条技术要求》的要求。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*胶水：符合《GB18583室内装饰装修材料 胶粘剂中有害物质限量》中对游离甲醛、苯、甲苯+二甲苯、总挥发有机物的要求。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 xml:space="preserve">*操作台面：人造石台面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093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B9BD5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  <w:t>二</w:t>
            </w: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21"/>
              </w:rPr>
              <w:t>：</w:t>
            </w:r>
            <w:r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  <w:t>一层服务受理区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办公椅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221615</wp:posOffset>
                  </wp:positionV>
                  <wp:extent cx="1031240" cy="1493520"/>
                  <wp:effectExtent l="0" t="0" r="16510" b="11430"/>
                  <wp:wrapNone/>
                  <wp:docPr id="95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149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常规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张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布料：优质网布，抗张、耐磨性强。透气和防静电性能优越;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背框：加高椅背带头枕，70%PP+30%玻纤，更加耐用；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 xml:space="preserve">扶手：可升降PP扶手                                            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椅座：10层实木弯曲板，优质切割棉通过座耐久测试承重57kg，离座垫高度36m，自由落体测试10万次，无异常;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底盘：原位锁定机构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气杆：3级气杆喷100#50，通过SGS认证三级黑色气压棒，钢制主体，壁厚2.0 MM，填充99.99%以上氮气；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椅脚：黑色尼龙五星脚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脚轮：加强尼龙轮，耐久测试:负重113KG，80000次循环测试无异常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093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B9BD5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  <w:t>三</w:t>
            </w: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21"/>
              </w:rPr>
              <w:t>：</w:t>
            </w:r>
            <w:r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  <w:t>二至四层电梯厅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3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荣誉柜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852805</wp:posOffset>
                  </wp:positionV>
                  <wp:extent cx="1209675" cy="990600"/>
                  <wp:effectExtent l="0" t="0" r="9525" b="0"/>
                  <wp:wrapNone/>
                  <wp:docPr id="94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4200*400*3800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（以现场实际尺寸为准）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组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基材：三聚氰胺饰面板，满足GB/T 15102《浸渍胶膜纸饰面纤维板和刨花板》所有要求，符合GB/T 39600《人造板及其制品甲醛释放量分级》标准，达到E0级：甲醛释放量≤0.05mg/m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³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；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封边条：2mm厚PVC直封边，耐光色牢度≥4级，耐龟裂性≥1级、耐磨性、耐干热、耐老化、耐冷热循环性等理化性能均符合QB/T 4463《家具用封边条技术要求》的要求。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 xml:space="preserve">胶水：符合《GB18583室内装饰装修材料 胶粘剂中有害物质限量》中对游离甲醛、苯、甲苯+二甲苯、总挥发有机物的要求。                                        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配置：空格层板内配LED暖光灯带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0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0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由你凳</w:t>
            </w:r>
          </w:p>
        </w:tc>
        <w:tc>
          <w:tcPr>
            <w:tcW w:w="24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72390</wp:posOffset>
                  </wp:positionV>
                  <wp:extent cx="942975" cy="1703705"/>
                  <wp:effectExtent l="0" t="0" r="9525" b="10795"/>
                  <wp:wrapNone/>
                  <wp:docPr id="93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b="8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70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450*450*225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材质：EPP环保材料，可回收再利用，可以自然降解，不会造成白色污染，不含发泡剂和助剂，对人体无害。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性能：具有高稳定性，耐油性和不易腐蚀性，耐高温达130度，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结构：产品重量：1145g （±10%） ，承重120kg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功能：可作独立小凳使用，与软垫组合为活动沙发凳；闲置时可以收挂于墙面或柜内，作为展示架。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0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0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木制搁板</w:t>
            </w:r>
          </w:p>
        </w:tc>
        <w:tc>
          <w:tcPr>
            <w:tcW w:w="24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350*200*18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块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白蜡木实木，表面清漆处理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配木制支撑杆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0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0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休闲凳组合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609600</wp:posOffset>
                  </wp:positionV>
                  <wp:extent cx="1123950" cy="857250"/>
                  <wp:effectExtent l="0" t="0" r="0" b="0"/>
                  <wp:wrapNone/>
                  <wp:docPr id="92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8970" r="1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常规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组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材质：EPP环保材料，可回收再利用，可以自然降解，不会造成白色污染，不含发泡剂和助剂，对人体无害。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性能：具有高稳定性，耐油性和不易腐蚀性，耐高温达130度，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结构：产品重量：1145g （±10%） ，承重120kg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功能：可作独立小凳使用，与软垫组合为活动沙发凳；闲置时可以收挂于墙面或柜内，作为展示架。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093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B9BD5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21"/>
              </w:rPr>
              <w:t>四：</w:t>
            </w:r>
            <w:r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  <w:t>创新平台（创意工坊，创客空间部分家具）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8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灵感墙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（白板+电视挂架）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282575</wp:posOffset>
                  </wp:positionV>
                  <wp:extent cx="1104900" cy="1123950"/>
                  <wp:effectExtent l="0" t="0" r="0" b="0"/>
                  <wp:wrapNone/>
                  <wp:docPr id="91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1180*400*2000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组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框架：方管钢架，钢管壁厚1.5mm，表面静电塑，漆膜附着力、硬度、耐冲击强度、耐腐蚀等理化性能均符合《GB/T3325金属家具通用技术条件》的要求。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面板：正面PET环保材料，密度1700克，带电视挂架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功能：正反双面使用，可移动，带电源</w:t>
            </w:r>
          </w:p>
        </w:tc>
      </w:tr>
    </w:tbl>
    <w:p>
      <w:pPr>
        <w:widowControl/>
        <w:shd w:val="clear" w:color="auto" w:fill="FFFFFF"/>
        <w:spacing w:before="156" w:beforeLines="50" w:line="300" w:lineRule="auto"/>
        <w:ind w:left="-1949" w:leftChars="-928"/>
        <w:jc w:val="left"/>
        <w:rPr>
          <w:rFonts w:eastAsia="宋体" w:cs="宋体"/>
          <w:b/>
          <w:color w:val="333333"/>
          <w:szCs w:val="21"/>
          <w:shd w:val="clear" w:color="auto" w:fill="FFFFFF"/>
        </w:rPr>
      </w:pPr>
      <w:bookmarkStart w:id="0" w:name="_GoBack"/>
      <w:bookmarkEnd w:id="0"/>
    </w:p>
    <w:p>
      <w:pPr>
        <w:widowControl/>
        <w:numPr>
          <w:ilvl w:val="0"/>
          <w:numId w:val="1"/>
        </w:numPr>
        <w:shd w:val="clear" w:color="auto" w:fill="FFFFFF"/>
        <w:spacing w:before="156" w:beforeLines="50" w:line="300" w:lineRule="auto"/>
        <w:ind w:left="4" w:leftChars="-495" w:hanging="1043" w:hangingChars="433"/>
        <w:jc w:val="left"/>
        <w:rPr>
          <w:rFonts w:ascii="宋体" w:hAnsi="宋体" w:eastAsia="宋体" w:cs="宋体"/>
          <w:b/>
          <w:color w:val="333333"/>
          <w:kern w:val="0"/>
          <w:sz w:val="24"/>
          <w:szCs w:val="21"/>
          <w:shd w:val="clear" w:color="auto" w:fill="FFFFFF"/>
          <w:lang w:val="zh-CN"/>
        </w:rPr>
      </w:pPr>
      <w:r>
        <w:rPr>
          <w:rFonts w:hint="eastAsia" w:ascii="宋体" w:hAnsi="宋体" w:eastAsia="宋体" w:cs="宋体"/>
          <w:b/>
          <w:color w:val="333333"/>
          <w:kern w:val="0"/>
          <w:sz w:val="24"/>
          <w:szCs w:val="21"/>
          <w:shd w:val="clear" w:color="auto" w:fill="FFFFFF"/>
        </w:rPr>
        <w:t>其他：</w:t>
      </w:r>
    </w:p>
    <w:p>
      <w:pPr>
        <w:widowControl/>
        <w:numPr>
          <w:ilvl w:val="0"/>
          <w:numId w:val="2"/>
        </w:numPr>
        <w:shd w:val="clear" w:color="auto" w:fill="FFFFFF"/>
        <w:spacing w:before="156" w:beforeLines="50" w:line="300" w:lineRule="auto"/>
        <w:ind w:left="-620" w:right="-1153" w:rightChars="-549"/>
        <w:jc w:val="left"/>
        <w:rPr>
          <w:rFonts w:ascii="楷体" w:hAnsi="楷体" w:eastAsia="楷体" w:cs="楷体"/>
          <w:sz w:val="24"/>
          <w:lang w:val="zh-CN"/>
        </w:rPr>
      </w:pPr>
      <w:r>
        <w:rPr>
          <w:rFonts w:ascii="楷体" w:hAnsi="楷体" w:eastAsia="楷体" w:cs="楷体"/>
          <w:sz w:val="24"/>
          <w:lang w:val="zh-CN"/>
        </w:rPr>
        <w:t>本项目为保证售后服务需提供免费质保不少于三年，质保期免费上门服务的承诺。</w:t>
      </w:r>
    </w:p>
    <w:p>
      <w:pPr>
        <w:widowControl/>
        <w:numPr>
          <w:ilvl w:val="0"/>
          <w:numId w:val="2"/>
        </w:numPr>
        <w:shd w:val="clear" w:color="auto" w:fill="FFFFFF"/>
        <w:spacing w:before="156" w:beforeLines="50" w:line="300" w:lineRule="auto"/>
        <w:ind w:left="-615" w:right="-1153" w:rightChars="-549"/>
        <w:jc w:val="left"/>
        <w:rPr>
          <w:rFonts w:ascii="楷体" w:hAnsi="楷体" w:eastAsia="楷体" w:cs="楷体"/>
          <w:sz w:val="24"/>
          <w:lang w:val="zh-CN"/>
        </w:rPr>
      </w:pPr>
      <w:r>
        <w:rPr>
          <w:rFonts w:hint="eastAsia" w:ascii="楷体" w:hAnsi="楷体" w:eastAsia="楷体" w:cs="楷体"/>
          <w:sz w:val="24"/>
        </w:rPr>
        <w:t>成交方</w:t>
      </w:r>
      <w:r>
        <w:rPr>
          <w:rFonts w:ascii="楷体" w:hAnsi="楷体" w:eastAsia="楷体" w:cs="楷体"/>
          <w:sz w:val="24"/>
          <w:lang w:val="zh-CN"/>
        </w:rPr>
        <w:t>在安装实施时根据采购人要求布局，同时必须保护好施工区域内的环境和原有装饰，如有损坏须原样恢复。</w:t>
      </w:r>
    </w:p>
    <w:p>
      <w:pPr>
        <w:pStyle w:val="7"/>
      </w:pPr>
    </w:p>
    <w:p>
      <w:pPr>
        <w:pStyle w:val="11"/>
        <w:ind w:firstLine="645"/>
        <w:jc w:val="center"/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36868987"/>
    </w:sdtPr>
    <w:sdtContent>
      <w:sdt>
        <w:sdtPr>
          <w:id w:val="-1769616900"/>
        </w:sdtPr>
        <w:sdtContent>
          <w:p>
            <w:pPr>
              <w:pStyle w:val="9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9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696B25"/>
    <w:multiLevelType w:val="singleLevel"/>
    <w:tmpl w:val="BC696B2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8C0FCE5"/>
    <w:multiLevelType w:val="singleLevel"/>
    <w:tmpl w:val="58C0FCE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VjMjdlNzg2MTFkNzhkOGZiNjYzM2JlMDVkMTZiYzkifQ=="/>
  </w:docVars>
  <w:rsids>
    <w:rsidRoot w:val="009F5BB7"/>
    <w:rsid w:val="000013B2"/>
    <w:rsid w:val="00016690"/>
    <w:rsid w:val="0002318A"/>
    <w:rsid w:val="00051A36"/>
    <w:rsid w:val="00052B73"/>
    <w:rsid w:val="0007606D"/>
    <w:rsid w:val="00077CF3"/>
    <w:rsid w:val="00090229"/>
    <w:rsid w:val="00091E42"/>
    <w:rsid w:val="000A3775"/>
    <w:rsid w:val="000A6542"/>
    <w:rsid w:val="000B0A60"/>
    <w:rsid w:val="000B6C45"/>
    <w:rsid w:val="000C70F7"/>
    <w:rsid w:val="000E350D"/>
    <w:rsid w:val="00104514"/>
    <w:rsid w:val="001052EC"/>
    <w:rsid w:val="0012299F"/>
    <w:rsid w:val="001979D5"/>
    <w:rsid w:val="001A6E30"/>
    <w:rsid w:val="001B176B"/>
    <w:rsid w:val="001B6E4E"/>
    <w:rsid w:val="001D4343"/>
    <w:rsid w:val="001E5F66"/>
    <w:rsid w:val="001E69D0"/>
    <w:rsid w:val="0021443D"/>
    <w:rsid w:val="002162A7"/>
    <w:rsid w:val="00234931"/>
    <w:rsid w:val="002477A4"/>
    <w:rsid w:val="00274426"/>
    <w:rsid w:val="002952C6"/>
    <w:rsid w:val="002A77E8"/>
    <w:rsid w:val="002B1EDB"/>
    <w:rsid w:val="002E3B31"/>
    <w:rsid w:val="002E5615"/>
    <w:rsid w:val="002E5C7D"/>
    <w:rsid w:val="003079F1"/>
    <w:rsid w:val="00331EAF"/>
    <w:rsid w:val="00336AFD"/>
    <w:rsid w:val="003542CA"/>
    <w:rsid w:val="00364CDF"/>
    <w:rsid w:val="003A222C"/>
    <w:rsid w:val="003B2400"/>
    <w:rsid w:val="003B4211"/>
    <w:rsid w:val="003C4571"/>
    <w:rsid w:val="003E11B8"/>
    <w:rsid w:val="003F53CE"/>
    <w:rsid w:val="00400E4A"/>
    <w:rsid w:val="004169F8"/>
    <w:rsid w:val="00420701"/>
    <w:rsid w:val="00456D10"/>
    <w:rsid w:val="00487E91"/>
    <w:rsid w:val="0049587E"/>
    <w:rsid w:val="004B41F6"/>
    <w:rsid w:val="004B435B"/>
    <w:rsid w:val="004C48E8"/>
    <w:rsid w:val="004D1FFD"/>
    <w:rsid w:val="004E13BF"/>
    <w:rsid w:val="00501F03"/>
    <w:rsid w:val="00517040"/>
    <w:rsid w:val="00535DE2"/>
    <w:rsid w:val="005370A0"/>
    <w:rsid w:val="005420BE"/>
    <w:rsid w:val="005440C3"/>
    <w:rsid w:val="0057583A"/>
    <w:rsid w:val="005A756D"/>
    <w:rsid w:val="005E5E56"/>
    <w:rsid w:val="005F751E"/>
    <w:rsid w:val="00630D65"/>
    <w:rsid w:val="006442FE"/>
    <w:rsid w:val="0067188D"/>
    <w:rsid w:val="006834AA"/>
    <w:rsid w:val="00690015"/>
    <w:rsid w:val="006A3C63"/>
    <w:rsid w:val="00710EEA"/>
    <w:rsid w:val="00717EA1"/>
    <w:rsid w:val="00744456"/>
    <w:rsid w:val="007546BA"/>
    <w:rsid w:val="0081285E"/>
    <w:rsid w:val="008407AA"/>
    <w:rsid w:val="0084466E"/>
    <w:rsid w:val="0085701D"/>
    <w:rsid w:val="00881241"/>
    <w:rsid w:val="008A42AC"/>
    <w:rsid w:val="008C77F0"/>
    <w:rsid w:val="008D5B17"/>
    <w:rsid w:val="008E5A0B"/>
    <w:rsid w:val="00916B51"/>
    <w:rsid w:val="00921650"/>
    <w:rsid w:val="009420D5"/>
    <w:rsid w:val="00943A6C"/>
    <w:rsid w:val="009719C6"/>
    <w:rsid w:val="009C2ACF"/>
    <w:rsid w:val="009F5BB7"/>
    <w:rsid w:val="00A05F65"/>
    <w:rsid w:val="00A17425"/>
    <w:rsid w:val="00A263F5"/>
    <w:rsid w:val="00A62F34"/>
    <w:rsid w:val="00A64B8D"/>
    <w:rsid w:val="00AB41AC"/>
    <w:rsid w:val="00B226A4"/>
    <w:rsid w:val="00B32374"/>
    <w:rsid w:val="00B92B2D"/>
    <w:rsid w:val="00BA2134"/>
    <w:rsid w:val="00BB7176"/>
    <w:rsid w:val="00BC7AB9"/>
    <w:rsid w:val="00BD282C"/>
    <w:rsid w:val="00BF2BAF"/>
    <w:rsid w:val="00BF6A0D"/>
    <w:rsid w:val="00C1309D"/>
    <w:rsid w:val="00C539BD"/>
    <w:rsid w:val="00C7245A"/>
    <w:rsid w:val="00C765D3"/>
    <w:rsid w:val="00C85D55"/>
    <w:rsid w:val="00C87210"/>
    <w:rsid w:val="00CA43CA"/>
    <w:rsid w:val="00CA5E1A"/>
    <w:rsid w:val="00D207B0"/>
    <w:rsid w:val="00D452AD"/>
    <w:rsid w:val="00D630C3"/>
    <w:rsid w:val="00DC4CA7"/>
    <w:rsid w:val="00E15465"/>
    <w:rsid w:val="00E164FE"/>
    <w:rsid w:val="00E9435F"/>
    <w:rsid w:val="00EB4D59"/>
    <w:rsid w:val="00ED63DB"/>
    <w:rsid w:val="00F035A2"/>
    <w:rsid w:val="00F14114"/>
    <w:rsid w:val="00F428DF"/>
    <w:rsid w:val="00F5342E"/>
    <w:rsid w:val="00F61F51"/>
    <w:rsid w:val="00FB10A4"/>
    <w:rsid w:val="00FC0FBF"/>
    <w:rsid w:val="00FC783E"/>
    <w:rsid w:val="00FD5EBE"/>
    <w:rsid w:val="00FE68D4"/>
    <w:rsid w:val="00FF5D66"/>
    <w:rsid w:val="02777BFD"/>
    <w:rsid w:val="03014CB7"/>
    <w:rsid w:val="050977E8"/>
    <w:rsid w:val="05524952"/>
    <w:rsid w:val="06116BC9"/>
    <w:rsid w:val="0849203C"/>
    <w:rsid w:val="0C394176"/>
    <w:rsid w:val="0C555B84"/>
    <w:rsid w:val="0EFD592E"/>
    <w:rsid w:val="0FA80C29"/>
    <w:rsid w:val="136E7FCC"/>
    <w:rsid w:val="151D77DE"/>
    <w:rsid w:val="17013AE2"/>
    <w:rsid w:val="1B8D3B96"/>
    <w:rsid w:val="1B9C202B"/>
    <w:rsid w:val="1D15459F"/>
    <w:rsid w:val="2442017F"/>
    <w:rsid w:val="249B37C8"/>
    <w:rsid w:val="25E32063"/>
    <w:rsid w:val="26E03714"/>
    <w:rsid w:val="2E63754D"/>
    <w:rsid w:val="328839B3"/>
    <w:rsid w:val="333948D8"/>
    <w:rsid w:val="36967009"/>
    <w:rsid w:val="37866477"/>
    <w:rsid w:val="3862061E"/>
    <w:rsid w:val="3B8701AA"/>
    <w:rsid w:val="3C1F4887"/>
    <w:rsid w:val="3C830972"/>
    <w:rsid w:val="3FA31A96"/>
    <w:rsid w:val="3FCF7FD7"/>
    <w:rsid w:val="41354204"/>
    <w:rsid w:val="43193DDE"/>
    <w:rsid w:val="43A07E2D"/>
    <w:rsid w:val="46D02A05"/>
    <w:rsid w:val="4863153A"/>
    <w:rsid w:val="49BC25E4"/>
    <w:rsid w:val="4ADF3B5F"/>
    <w:rsid w:val="4B02784D"/>
    <w:rsid w:val="4CB95BF0"/>
    <w:rsid w:val="506C078B"/>
    <w:rsid w:val="53B13317"/>
    <w:rsid w:val="53FE39E8"/>
    <w:rsid w:val="56BC173F"/>
    <w:rsid w:val="56E06E8B"/>
    <w:rsid w:val="601479AF"/>
    <w:rsid w:val="60842708"/>
    <w:rsid w:val="61316034"/>
    <w:rsid w:val="61A8044F"/>
    <w:rsid w:val="628232F6"/>
    <w:rsid w:val="63AF3D1A"/>
    <w:rsid w:val="653B12D9"/>
    <w:rsid w:val="674B7ACE"/>
    <w:rsid w:val="675E7762"/>
    <w:rsid w:val="676527EF"/>
    <w:rsid w:val="68CD2DF1"/>
    <w:rsid w:val="693A7E9E"/>
    <w:rsid w:val="699047F1"/>
    <w:rsid w:val="6BD821D8"/>
    <w:rsid w:val="70003AAC"/>
    <w:rsid w:val="71C15BA7"/>
    <w:rsid w:val="743337AF"/>
    <w:rsid w:val="74776BFE"/>
    <w:rsid w:val="7691545E"/>
    <w:rsid w:val="76CC46E8"/>
    <w:rsid w:val="77980A6E"/>
    <w:rsid w:val="780B1240"/>
    <w:rsid w:val="7A5944E4"/>
    <w:rsid w:val="7BAE606F"/>
    <w:rsid w:val="7CB71996"/>
    <w:rsid w:val="7EAD60AB"/>
    <w:rsid w:val="7F9C2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qFormat="1" w:unhideWhenUsed="0" w:uiPriority="0" w:semiHidden="0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autoRedefine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autoRedefine/>
    <w:qFormat/>
    <w:uiPriority w:val="0"/>
    <w:pPr>
      <w:ind w:firstLine="420" w:firstLineChars="200"/>
    </w:pPr>
    <w:rPr>
      <w:kern w:val="0"/>
      <w:sz w:val="20"/>
    </w:rPr>
  </w:style>
  <w:style w:type="paragraph" w:styleId="4">
    <w:name w:val="Body Text"/>
    <w:basedOn w:val="1"/>
    <w:autoRedefine/>
    <w:unhideWhenUsed/>
    <w:qFormat/>
    <w:uiPriority w:val="99"/>
    <w:pPr>
      <w:spacing w:after="120"/>
    </w:pPr>
  </w:style>
  <w:style w:type="paragraph" w:styleId="5">
    <w:name w:val="Body Text Indent"/>
    <w:basedOn w:val="1"/>
    <w:autoRedefine/>
    <w:unhideWhenUsed/>
    <w:qFormat/>
    <w:uiPriority w:val="99"/>
    <w:pPr>
      <w:spacing w:after="120"/>
      <w:ind w:left="420" w:leftChars="200"/>
    </w:pPr>
  </w:style>
  <w:style w:type="paragraph" w:styleId="6">
    <w:name w:val="Block Text"/>
    <w:basedOn w:val="1"/>
    <w:qFormat/>
    <w:uiPriority w:val="0"/>
    <w:pPr>
      <w:spacing w:after="120"/>
      <w:ind w:left="1440" w:leftChars="700" w:right="1440" w:rightChars="700"/>
    </w:pPr>
  </w:style>
  <w:style w:type="paragraph" w:styleId="7">
    <w:name w:val="Plain Tex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</w:rPr>
  </w:style>
  <w:style w:type="paragraph" w:styleId="8">
    <w:name w:val="Balloon Text"/>
    <w:basedOn w:val="1"/>
    <w:link w:val="27"/>
    <w:autoRedefine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3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2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2">
    <w:name w:val="Body Text First Indent 2"/>
    <w:basedOn w:val="5"/>
    <w:autoRedefine/>
    <w:unhideWhenUsed/>
    <w:qFormat/>
    <w:uiPriority w:val="99"/>
    <w:pPr>
      <w:ind w:firstLine="420" w:firstLineChars="200"/>
    </w:pPr>
  </w:style>
  <w:style w:type="table" w:styleId="14">
    <w:name w:val="Table Grid"/>
    <w:basedOn w:val="13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basedOn w:val="15"/>
    <w:autoRedefine/>
    <w:qFormat/>
    <w:uiPriority w:val="22"/>
    <w:rPr>
      <w:b/>
      <w:bCs/>
    </w:rPr>
  </w:style>
  <w:style w:type="character" w:styleId="17">
    <w:name w:val="Hyperlink"/>
    <w:basedOn w:val="15"/>
    <w:autoRedefine/>
    <w:unhideWhenUsed/>
    <w:qFormat/>
    <w:uiPriority w:val="99"/>
    <w:rPr>
      <w:color w:val="000000"/>
      <w:u w:val="none"/>
    </w:rPr>
  </w:style>
  <w:style w:type="character" w:customStyle="1" w:styleId="18">
    <w:name w:val="标题 1 字符"/>
    <w:basedOn w:val="15"/>
    <w:link w:val="2"/>
    <w:autoRedefine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paragraph" w:customStyle="1" w:styleId="19">
    <w:name w:val="arti_metas1"/>
    <w:basedOn w:val="1"/>
    <w:autoRedefine/>
    <w:qFormat/>
    <w:uiPriority w:val="0"/>
    <w:pPr>
      <w:widowControl/>
      <w:spacing w:before="100" w:beforeAutospacing="1" w:after="225"/>
      <w:jc w:val="center"/>
    </w:pPr>
    <w:rPr>
      <w:rFonts w:ascii="微软雅黑" w:hAnsi="微软雅黑" w:eastAsia="微软雅黑" w:cs="宋体"/>
      <w:color w:val="333333"/>
      <w:kern w:val="0"/>
      <w:sz w:val="18"/>
      <w:szCs w:val="18"/>
    </w:rPr>
  </w:style>
  <w:style w:type="paragraph" w:customStyle="1" w:styleId="20">
    <w:name w:val="setting-item1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微软雅黑" w:hAnsi="微软雅黑" w:eastAsia="微软雅黑" w:cs="宋体"/>
      <w:color w:val="333333"/>
      <w:kern w:val="0"/>
      <w:sz w:val="18"/>
      <w:szCs w:val="18"/>
    </w:rPr>
  </w:style>
  <w:style w:type="character" w:customStyle="1" w:styleId="21">
    <w:name w:val="wp_visitcount1"/>
    <w:basedOn w:val="15"/>
    <w:autoRedefine/>
    <w:qFormat/>
    <w:uiPriority w:val="0"/>
    <w:rPr>
      <w:vanish/>
      <w:color w:val="787878"/>
      <w:sz w:val="18"/>
      <w:szCs w:val="18"/>
    </w:rPr>
  </w:style>
  <w:style w:type="character" w:customStyle="1" w:styleId="22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3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4">
    <w:name w:val="彩色列表 - 强调文字颜色 1字符"/>
    <w:link w:val="25"/>
    <w:autoRedefine/>
    <w:qFormat/>
    <w:uiPriority w:val="34"/>
    <w:rPr>
      <w:rFonts w:ascii="Calibri" w:hAnsi="Calibri" w:eastAsia="宋体"/>
    </w:rPr>
  </w:style>
  <w:style w:type="paragraph" w:customStyle="1" w:styleId="25">
    <w:name w:val="彩色列表 - 强调文字颜色 11"/>
    <w:basedOn w:val="1"/>
    <w:link w:val="24"/>
    <w:autoRedefine/>
    <w:qFormat/>
    <w:uiPriority w:val="34"/>
    <w:pPr>
      <w:ind w:firstLine="420" w:firstLineChars="200"/>
    </w:pPr>
    <w:rPr>
      <w:rFonts w:ascii="Calibri" w:hAnsi="Calibri" w:eastAsia="宋体"/>
    </w:rPr>
  </w:style>
  <w:style w:type="paragraph" w:styleId="26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27">
    <w:name w:val="批注框文本 字符"/>
    <w:basedOn w:val="15"/>
    <w:link w:val="8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04279-4A77-464C-A5DD-67A25C7B695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Organization</Company>
  <Pages>7</Pages>
  <Words>1025</Words>
  <Characters>5844</Characters>
  <Lines>48</Lines>
  <Paragraphs>13</Paragraphs>
  <TotalTime>14</TotalTime>
  <ScaleCrop>false</ScaleCrop>
  <LinksUpToDate>false</LinksUpToDate>
  <CharactersWithSpaces>6856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2019-06-03T01:44:00Z</dcterms:created>
  <dc:creator>kevin</dc:creator>
  <cp:lastModifiedBy>梁燕</cp:lastModifiedBy>
  <cp:lastPrinted>2019-06-13T04:44:00Z</cp:lastPrinted>
  <dcterms:modified xsi:type="dcterms:W3CDTF">2024-05-15T01:25:21Z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662E8E25C71340B6B24B022FEE9D7572_13</vt:lpwstr>
  </property>
</Properties>
</file>